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1C661C">
      <w:pPr>
        <w:pStyle w:val="Heading1"/>
        <w:rPr>
          <w:rFonts w:asciiTheme="minorHAnsi" w:hAnsiTheme="minorHAnsi" w:cstheme="minorHAnsi"/>
          <w:b/>
          <w:color w:val="auto"/>
        </w:rPr>
      </w:pPr>
      <w:r w:rsidRPr="001C661C">
        <w:rPr>
          <w:rFonts w:asciiTheme="minorHAnsi" w:hAnsiTheme="minorHAnsi" w:cstheme="minorHAnsi"/>
          <w:b/>
          <w:color w:val="auto"/>
        </w:rPr>
        <w:t>Module Specification</w:t>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710455">
        <w:t>Industry Studies 1</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710455" w:rsidP="00C07387">
            <w:pPr>
              <w:jc w:val="both"/>
              <w:rPr>
                <w:rFonts w:cstheme="minorHAnsi"/>
              </w:rPr>
            </w:pPr>
            <w:r>
              <w:rPr>
                <w:lang w:val="fr-FR"/>
              </w:rPr>
              <w:t>HFDSHR003</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710455" w:rsidP="0087463F">
            <w:pPr>
              <w:jc w:val="both"/>
              <w:rPr>
                <w:rFonts w:cstheme="minorHAnsi"/>
              </w:rPr>
            </w:pPr>
            <w:r>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710455" w:rsidP="0087463F">
            <w:pPr>
              <w:jc w:val="both"/>
              <w:rPr>
                <w:rFonts w:cstheme="minorHAnsi"/>
              </w:rPr>
            </w:pPr>
            <w:r>
              <w:rPr>
                <w:rFonts w:cstheme="minorHAnsi"/>
              </w:rPr>
              <w:t>20</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710455" w:rsidP="0087463F">
            <w:pPr>
              <w:jc w:val="both"/>
              <w:rPr>
                <w:rFonts w:cstheme="minorHAnsi"/>
              </w:rPr>
            </w:pPr>
            <w:r>
              <w:rPr>
                <w:rFonts w:cstheme="minorHAnsi"/>
              </w:rPr>
              <w:t>1 &amp;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710455"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710455"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710455" w:rsidP="004E259E">
            <w:pPr>
              <w:jc w:val="both"/>
              <w:rPr>
                <w:rFonts w:cstheme="minorHAnsi"/>
              </w:rPr>
            </w:pPr>
            <w:proofErr w:type="spellStart"/>
            <w:r>
              <w:rPr>
                <w:rFonts w:cstheme="minorHAnsi"/>
              </w:rPr>
              <w:t>FdA</w:t>
            </w:r>
            <w:proofErr w:type="spellEnd"/>
            <w:r>
              <w:rPr>
                <w:rFonts w:cstheme="minorHAnsi"/>
              </w:rPr>
              <w:t xml:space="preserve"> Electronic Music Production, </w:t>
            </w:r>
            <w:proofErr w:type="spellStart"/>
            <w:r>
              <w:rPr>
                <w:rFonts w:cstheme="minorHAnsi"/>
              </w:rPr>
              <w:t>FdA</w:t>
            </w:r>
            <w:proofErr w:type="spellEnd"/>
            <w:r>
              <w:rPr>
                <w:rFonts w:cstheme="minorHAnsi"/>
              </w:rPr>
              <w:t xml:space="preserve"> Music Production</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4A4E46" w:rsidRPr="004A4E46" w:rsidRDefault="004A4E46" w:rsidP="004A4E46">
      <w:pPr>
        <w:spacing w:after="0" w:line="240" w:lineRule="auto"/>
        <w:rPr>
          <w:rFonts w:cstheme="minorHAnsi"/>
        </w:rPr>
      </w:pPr>
      <w:r w:rsidRPr="004A4E46">
        <w:rPr>
          <w:rFonts w:cstheme="minorHAnsi"/>
        </w:rPr>
        <w:t xml:space="preserve">This module is divided into two distinct halves. The first semester will focus on project management and entrepreneurship and will allow students to gain the confidence and skills to manage creative and commercial projects. Topics covered will include effective planning, time and resource management techniques, file management, record keeping, </w:t>
      </w:r>
      <w:proofErr w:type="gramStart"/>
      <w:r w:rsidRPr="004A4E46">
        <w:rPr>
          <w:rFonts w:cstheme="minorHAnsi"/>
        </w:rPr>
        <w:t>archiving</w:t>
      </w:r>
      <w:proofErr w:type="gramEnd"/>
      <w:r w:rsidRPr="004A4E46">
        <w:rPr>
          <w:rFonts w:cstheme="minorHAnsi"/>
        </w:rPr>
        <w:t xml:space="preserve"> and evaluation skills. The module will also give students the opportunity to consider potential leadership, management and delegation skills as well as developing their communication, teamwork and presentation skills.</w:t>
      </w:r>
    </w:p>
    <w:p w:rsidR="004A4E46" w:rsidRPr="004A4E46" w:rsidRDefault="004A4E46" w:rsidP="004A4E46">
      <w:pPr>
        <w:spacing w:after="0" w:line="240" w:lineRule="auto"/>
        <w:rPr>
          <w:rFonts w:cstheme="minorHAnsi"/>
        </w:rPr>
      </w:pPr>
    </w:p>
    <w:p w:rsidR="004A4E46" w:rsidRPr="004A4E46" w:rsidRDefault="004A4E46" w:rsidP="004A4E46">
      <w:pPr>
        <w:spacing w:after="0" w:line="240" w:lineRule="auto"/>
        <w:rPr>
          <w:rFonts w:cstheme="minorHAnsi"/>
        </w:rPr>
      </w:pPr>
      <w:r w:rsidRPr="004A4E46">
        <w:rPr>
          <w:rFonts w:cstheme="minorHAnsi"/>
        </w:rPr>
        <w:t>The second semester will give students an understanding of the fundamental structure and workings of the creative industries. Subjects covered will include intellectual property and copyright law, royalties and collection agencies (e.g. PRS for Music, MCPS) and basic contractual procedure. Students will also have the opportunity to further develop their understanding of music production in a commercial context.</w:t>
      </w:r>
    </w:p>
    <w:p w:rsidR="00C07387" w:rsidRPr="001C661C" w:rsidRDefault="00C07387" w:rsidP="004E259E">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4A4E46" w:rsidRDefault="004A4E46" w:rsidP="004A4E46">
      <w:r>
        <w:t>It is recognised that all music students need to be equipped with skills that maximise employability. Industry Studies 1 is a module that compliments the programme’s practical and theoretical music production focussed modules and is designed to orientate the students with opportunities presented within the creative industries along with important skill sets that can be applied to further study.</w:t>
      </w:r>
    </w:p>
    <w:p w:rsidR="004A4E46" w:rsidRDefault="004A4E46" w:rsidP="004A4E46">
      <w:r>
        <w:t>T</w:t>
      </w:r>
      <w:r>
        <w:t>h</w:t>
      </w:r>
      <w:r>
        <w:t>e module aims to:</w:t>
      </w:r>
    </w:p>
    <w:p w:rsidR="004A4E46" w:rsidRDefault="004A4E46" w:rsidP="004A4E46">
      <w:pPr>
        <w:pStyle w:val="ListParagraph"/>
        <w:numPr>
          <w:ilvl w:val="0"/>
          <w:numId w:val="15"/>
        </w:numPr>
        <w:spacing w:after="160" w:line="259" w:lineRule="auto"/>
      </w:pPr>
      <w:r>
        <w:t>Introduce the student to the professional framework and mechanisms of the creative industries.</w:t>
      </w:r>
    </w:p>
    <w:p w:rsidR="004A4E46" w:rsidRDefault="004A4E46" w:rsidP="004A4E46">
      <w:pPr>
        <w:pStyle w:val="ListParagraph"/>
        <w:numPr>
          <w:ilvl w:val="0"/>
          <w:numId w:val="15"/>
        </w:numPr>
        <w:spacing w:after="160" w:line="259" w:lineRule="auto"/>
      </w:pPr>
      <w:r>
        <w:t>Support the realisation of future projects by developing project management skills.</w:t>
      </w:r>
    </w:p>
    <w:p w:rsidR="004A4E46" w:rsidRPr="00DB630B" w:rsidRDefault="004A4E46" w:rsidP="004A4E46">
      <w:pPr>
        <w:pStyle w:val="ListParagraph"/>
        <w:numPr>
          <w:ilvl w:val="0"/>
          <w:numId w:val="15"/>
        </w:numPr>
        <w:spacing w:after="160" w:line="259" w:lineRule="auto"/>
      </w:pPr>
      <w:r>
        <w:t>Develop the student's understanding of the legal and commercial issues that underpin the creative industries.</w:t>
      </w:r>
    </w:p>
    <w:p w:rsidR="000A58BE" w:rsidRPr="000A58BE" w:rsidRDefault="000A58BE" w:rsidP="00914F78">
      <w:pPr>
        <w:spacing w:after="0"/>
        <w:rPr>
          <w:rFonts w:cstheme="minorHAnsi"/>
        </w:rPr>
      </w:pPr>
    </w:p>
    <w:p w:rsidR="00DA29B6" w:rsidRPr="001C661C" w:rsidRDefault="00DA29B6" w:rsidP="00A269B4">
      <w:pPr>
        <w:spacing w:after="0" w:line="240" w:lineRule="auto"/>
        <w:rPr>
          <w:rFonts w:cstheme="minorHAnsi"/>
          <w:b/>
        </w:rPr>
      </w:pPr>
      <w:r w:rsidRPr="001C661C">
        <w:rPr>
          <w:rFonts w:cstheme="minorHAnsi"/>
          <w:b/>
        </w:rPr>
        <w:t>Learning outcomes</w:t>
      </w:r>
    </w:p>
    <w:p w:rsidR="004A4E46" w:rsidRDefault="004A4E46" w:rsidP="004A4E46">
      <w:r w:rsidRPr="00A72C41">
        <w:rPr>
          <w:bCs/>
          <w:i/>
        </w:rPr>
        <w:t>On successful completion of this module, students will be able to:</w:t>
      </w:r>
    </w:p>
    <w:tbl>
      <w:tblPr>
        <w:tblStyle w:val="TableGrid"/>
        <w:tblW w:w="0" w:type="auto"/>
        <w:tblLook w:val="04A0" w:firstRow="1" w:lastRow="0" w:firstColumn="1" w:lastColumn="0" w:noHBand="0" w:noVBand="1"/>
      </w:tblPr>
      <w:tblGrid>
        <w:gridCol w:w="966"/>
        <w:gridCol w:w="7516"/>
      </w:tblGrid>
      <w:tr w:rsidR="004A4E46" w:rsidTr="00C07C32">
        <w:tc>
          <w:tcPr>
            <w:tcW w:w="966" w:type="dxa"/>
            <w:tcBorders>
              <w:top w:val="single" w:sz="4" w:space="0" w:color="auto"/>
              <w:left w:val="single" w:sz="4" w:space="0" w:color="auto"/>
              <w:bottom w:val="single" w:sz="4" w:space="0" w:color="auto"/>
              <w:right w:val="single" w:sz="4" w:space="0" w:color="auto"/>
            </w:tcBorders>
            <w:hideMark/>
          </w:tcPr>
          <w:p w:rsidR="004A4E46" w:rsidRDefault="004A4E46" w:rsidP="00C07C32">
            <w:pPr>
              <w:pStyle w:val="ListParagraph"/>
              <w:ind w:left="0"/>
              <w:rPr>
                <w:b/>
                <w:bCs/>
                <w:sz w:val="16"/>
                <w:szCs w:val="16"/>
              </w:rPr>
            </w:pPr>
            <w:r>
              <w:rPr>
                <w:b/>
                <w:bCs/>
                <w:sz w:val="16"/>
                <w:szCs w:val="16"/>
              </w:rPr>
              <w:t>LO1</w:t>
            </w:r>
          </w:p>
        </w:tc>
        <w:tc>
          <w:tcPr>
            <w:tcW w:w="7516" w:type="dxa"/>
            <w:tcBorders>
              <w:top w:val="single" w:sz="4" w:space="0" w:color="auto"/>
              <w:left w:val="single" w:sz="4" w:space="0" w:color="auto"/>
              <w:bottom w:val="single" w:sz="4" w:space="0" w:color="auto"/>
              <w:right w:val="single" w:sz="4" w:space="0" w:color="auto"/>
            </w:tcBorders>
          </w:tcPr>
          <w:p w:rsidR="004A4E46" w:rsidRPr="006035C2" w:rsidRDefault="004A4E46" w:rsidP="00C07C32">
            <w:pPr>
              <w:rPr>
                <w:rFonts w:ascii="Calibri" w:eastAsia="Times New Roman" w:hAnsi="Calibri" w:cs="Times New Roman"/>
                <w:color w:val="000000"/>
              </w:rPr>
            </w:pPr>
            <w:r w:rsidRPr="00176F13">
              <w:t>Demonstrate abilities in idea generation and evaluation.</w:t>
            </w:r>
          </w:p>
        </w:tc>
      </w:tr>
      <w:tr w:rsidR="004A4E46" w:rsidTr="00C07C32">
        <w:tc>
          <w:tcPr>
            <w:tcW w:w="966" w:type="dxa"/>
            <w:tcBorders>
              <w:top w:val="single" w:sz="4" w:space="0" w:color="auto"/>
              <w:left w:val="single" w:sz="4" w:space="0" w:color="auto"/>
              <w:bottom w:val="single" w:sz="4" w:space="0" w:color="auto"/>
              <w:right w:val="single" w:sz="4" w:space="0" w:color="auto"/>
            </w:tcBorders>
            <w:hideMark/>
          </w:tcPr>
          <w:p w:rsidR="004A4E46" w:rsidRDefault="004A4E46" w:rsidP="00C07C32">
            <w:pPr>
              <w:pStyle w:val="ListParagraph"/>
              <w:ind w:left="0"/>
              <w:rPr>
                <w:b/>
                <w:bCs/>
                <w:sz w:val="16"/>
                <w:szCs w:val="16"/>
              </w:rPr>
            </w:pPr>
            <w:r>
              <w:rPr>
                <w:b/>
                <w:bCs/>
                <w:sz w:val="16"/>
                <w:szCs w:val="16"/>
              </w:rPr>
              <w:t>LO2</w:t>
            </w:r>
          </w:p>
        </w:tc>
        <w:tc>
          <w:tcPr>
            <w:tcW w:w="7516" w:type="dxa"/>
            <w:tcBorders>
              <w:top w:val="single" w:sz="4" w:space="0" w:color="auto"/>
              <w:left w:val="single" w:sz="4" w:space="0" w:color="auto"/>
              <w:bottom w:val="single" w:sz="4" w:space="0" w:color="auto"/>
              <w:right w:val="single" w:sz="4" w:space="0" w:color="auto"/>
            </w:tcBorders>
          </w:tcPr>
          <w:p w:rsidR="004A4E46" w:rsidRPr="006035C2" w:rsidRDefault="004A4E46" w:rsidP="00C07C32">
            <w:pPr>
              <w:rPr>
                <w:rFonts w:ascii="Calibri" w:eastAsia="Times New Roman" w:hAnsi="Calibri" w:cs="Times New Roman"/>
                <w:color w:val="000000"/>
              </w:rPr>
            </w:pPr>
            <w:r w:rsidRPr="00176F13">
              <w:t>Manage and evaluate complex collaborative projects relevant to the commercial requirements of the creative industries.</w:t>
            </w:r>
          </w:p>
        </w:tc>
      </w:tr>
      <w:tr w:rsidR="004A4E46" w:rsidTr="00C07C32">
        <w:tc>
          <w:tcPr>
            <w:tcW w:w="966" w:type="dxa"/>
            <w:tcBorders>
              <w:top w:val="single" w:sz="4" w:space="0" w:color="auto"/>
              <w:left w:val="single" w:sz="4" w:space="0" w:color="auto"/>
              <w:bottom w:val="single" w:sz="4" w:space="0" w:color="auto"/>
              <w:right w:val="single" w:sz="4" w:space="0" w:color="auto"/>
            </w:tcBorders>
            <w:hideMark/>
          </w:tcPr>
          <w:p w:rsidR="004A4E46" w:rsidRDefault="004A4E46" w:rsidP="00C07C32">
            <w:pPr>
              <w:pStyle w:val="ListParagraph"/>
              <w:ind w:left="0"/>
              <w:rPr>
                <w:b/>
                <w:bCs/>
                <w:sz w:val="16"/>
                <w:szCs w:val="16"/>
              </w:rPr>
            </w:pPr>
            <w:r>
              <w:rPr>
                <w:b/>
                <w:bCs/>
                <w:sz w:val="16"/>
                <w:szCs w:val="16"/>
              </w:rPr>
              <w:t>LO3</w:t>
            </w:r>
          </w:p>
        </w:tc>
        <w:tc>
          <w:tcPr>
            <w:tcW w:w="7516" w:type="dxa"/>
            <w:tcBorders>
              <w:top w:val="single" w:sz="4" w:space="0" w:color="auto"/>
              <w:left w:val="single" w:sz="4" w:space="0" w:color="auto"/>
              <w:bottom w:val="single" w:sz="4" w:space="0" w:color="auto"/>
              <w:right w:val="single" w:sz="4" w:space="0" w:color="auto"/>
            </w:tcBorders>
          </w:tcPr>
          <w:p w:rsidR="004A4E46" w:rsidRPr="006035C2" w:rsidRDefault="004A4E46" w:rsidP="00C07C32">
            <w:pPr>
              <w:rPr>
                <w:rFonts w:ascii="Calibri" w:eastAsia="Times New Roman" w:hAnsi="Calibri" w:cs="Times New Roman"/>
                <w:color w:val="000000"/>
              </w:rPr>
            </w:pPr>
            <w:r w:rsidRPr="00176F13">
              <w:t>Understand and evaluate the framework and fundamental financial and legal issues under-pinning the creative industries.</w:t>
            </w:r>
          </w:p>
        </w:tc>
      </w:tr>
    </w:tbl>
    <w:p w:rsidR="004E259E" w:rsidRPr="004E259E" w:rsidRDefault="004E259E" w:rsidP="004E259E">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4A4E46" w:rsidRPr="004A4E46" w:rsidRDefault="004A4E46" w:rsidP="004A4E46">
      <w:pPr>
        <w:spacing w:after="0" w:line="240" w:lineRule="auto"/>
        <w:jc w:val="both"/>
        <w:rPr>
          <w:rFonts w:cstheme="minorHAnsi"/>
          <w:b/>
        </w:rPr>
      </w:pPr>
    </w:p>
    <w:p w:rsidR="004A4E46" w:rsidRPr="004A4E46" w:rsidRDefault="004A4E46" w:rsidP="004A4E46">
      <w:pPr>
        <w:spacing w:after="0" w:line="240" w:lineRule="auto"/>
        <w:jc w:val="both"/>
        <w:rPr>
          <w:rFonts w:cstheme="minorHAnsi"/>
        </w:rPr>
      </w:pPr>
      <w:r w:rsidRPr="004A4E46">
        <w:rPr>
          <w:rFonts w:cstheme="minorHAnsi"/>
        </w:rPr>
        <w:t xml:space="preserve">Delivery will be through the lecture/seminar model. </w:t>
      </w:r>
    </w:p>
    <w:p w:rsidR="004A4E46" w:rsidRPr="004A4E46" w:rsidRDefault="004A4E46" w:rsidP="004A4E46">
      <w:pPr>
        <w:spacing w:after="0" w:line="240" w:lineRule="auto"/>
        <w:jc w:val="both"/>
        <w:rPr>
          <w:rFonts w:cstheme="minorHAnsi"/>
        </w:rPr>
      </w:pPr>
    </w:p>
    <w:p w:rsidR="004A4E46" w:rsidRPr="004A4E46" w:rsidRDefault="004A4E46" w:rsidP="004A4E46">
      <w:pPr>
        <w:spacing w:after="0" w:line="240" w:lineRule="auto"/>
        <w:jc w:val="both"/>
        <w:rPr>
          <w:rFonts w:cstheme="minorHAnsi"/>
        </w:rPr>
      </w:pPr>
      <w:r w:rsidRPr="004A4E46">
        <w:rPr>
          <w:rFonts w:cstheme="minorHAnsi"/>
        </w:rPr>
        <w:t>Lectures are used for the effective delivery of key subject areas as outlined in the indicative content in order to encourage discussion in follow-up seminars.</w:t>
      </w:r>
    </w:p>
    <w:p w:rsidR="004A4E46" w:rsidRPr="004A4E46" w:rsidRDefault="004A4E46" w:rsidP="004A4E46">
      <w:pPr>
        <w:spacing w:after="0" w:line="240" w:lineRule="auto"/>
        <w:jc w:val="both"/>
        <w:rPr>
          <w:rFonts w:cstheme="minorHAnsi"/>
        </w:rPr>
      </w:pPr>
    </w:p>
    <w:p w:rsidR="004A4E46" w:rsidRPr="004A4E46" w:rsidRDefault="004A4E46" w:rsidP="004A4E46">
      <w:pPr>
        <w:spacing w:after="0" w:line="240" w:lineRule="auto"/>
        <w:jc w:val="both"/>
        <w:rPr>
          <w:rFonts w:cstheme="minorHAnsi"/>
        </w:rPr>
      </w:pPr>
      <w:r w:rsidRPr="004A4E46">
        <w:rPr>
          <w:rFonts w:cstheme="minorHAnsi"/>
        </w:rPr>
        <w:t>Seminars will be used to promote discussion in order to evaluate and critically appraise what has been covered in the lectures. Seminars are essential for peer discussion so that students can synthesis information and consider how such information can be used creatively for effective learning. Examples include approaches to project management within a group scenario and the interpretation of legal frameworks and the analysis of case studies of music related business models.</w:t>
      </w:r>
    </w:p>
    <w:p w:rsidR="00914F78" w:rsidRPr="004A4E46" w:rsidRDefault="00914F78" w:rsidP="0087463F">
      <w:pPr>
        <w:spacing w:after="0" w:line="240" w:lineRule="auto"/>
        <w:jc w:val="both"/>
        <w:rPr>
          <w:rFonts w:cstheme="minorHAnsi"/>
        </w:rPr>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4A4E46" w:rsidRDefault="004A4E46" w:rsidP="0087463F">
            <w:pPr>
              <w:jc w:val="both"/>
              <w:rPr>
                <w:rFonts w:cstheme="minorHAnsi"/>
              </w:rPr>
            </w:pPr>
            <w:r w:rsidRPr="004A4E46">
              <w:rPr>
                <w:rFonts w:cstheme="minorHAnsi"/>
              </w:rPr>
              <w:t>30</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4A4E46" w:rsidRDefault="004A4E46" w:rsidP="0087463F">
            <w:pPr>
              <w:jc w:val="both"/>
              <w:rPr>
                <w:rFonts w:cstheme="minorHAnsi"/>
              </w:rPr>
            </w:pPr>
            <w:r w:rsidRPr="004A4E46">
              <w:rPr>
                <w:rFonts w:cstheme="minorHAnsi"/>
              </w:rPr>
              <w:t>170</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4A4E46" w:rsidRDefault="004A4E46" w:rsidP="0087463F">
            <w:pPr>
              <w:jc w:val="both"/>
              <w:rPr>
                <w:rFonts w:cstheme="minorHAnsi"/>
              </w:rPr>
            </w:pPr>
            <w:r w:rsidRPr="004A4E46">
              <w:rPr>
                <w:rFonts w:cstheme="minorHAnsi"/>
              </w:rPr>
              <w:t>200</w:t>
            </w:r>
          </w:p>
        </w:tc>
      </w:tr>
    </w:tbl>
    <w:p w:rsidR="00A269B4" w:rsidRPr="000A58BE" w:rsidRDefault="00A269B4"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60596D" w:rsidRPr="008C40E0" w:rsidRDefault="0060596D" w:rsidP="0060596D">
      <w:pPr>
        <w:rPr>
          <w:iCs/>
        </w:rPr>
      </w:pPr>
      <w:r w:rsidRPr="008C40E0">
        <w:rPr>
          <w:iCs/>
        </w:rPr>
        <w:t>Students will receive formative assessment of their progress through the seminar series.</w:t>
      </w:r>
      <w:r>
        <w:rPr>
          <w:iCs/>
        </w:rPr>
        <w:t xml:space="preserve"> This is to enable students to consolidate skills and knowledge necessary to complete the summative assessment.</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0A58BE" w:rsidRPr="001C661C" w:rsidTr="000A58BE">
        <w:tc>
          <w:tcPr>
            <w:tcW w:w="2997" w:type="dxa"/>
          </w:tcPr>
          <w:p w:rsidR="000A58BE" w:rsidRDefault="0060596D" w:rsidP="000A58BE">
            <w:r>
              <w:t>Group (oral) presentation</w:t>
            </w:r>
          </w:p>
        </w:tc>
        <w:tc>
          <w:tcPr>
            <w:tcW w:w="2570" w:type="dxa"/>
            <w:vAlign w:val="center"/>
          </w:tcPr>
          <w:p w:rsidR="000A58BE" w:rsidRPr="001C661C" w:rsidRDefault="0060596D" w:rsidP="000A58BE">
            <w:pPr>
              <w:jc w:val="center"/>
              <w:rPr>
                <w:rFonts w:cstheme="minorHAnsi"/>
              </w:rPr>
            </w:pPr>
            <w:r>
              <w:rPr>
                <w:rFonts w:cstheme="minorHAnsi"/>
              </w:rPr>
              <w:t>10 minutes</w:t>
            </w:r>
          </w:p>
        </w:tc>
        <w:tc>
          <w:tcPr>
            <w:tcW w:w="2375" w:type="dxa"/>
            <w:vAlign w:val="center"/>
          </w:tcPr>
          <w:p w:rsidR="000A58BE" w:rsidRPr="001C661C" w:rsidRDefault="0060596D" w:rsidP="000A58BE">
            <w:pPr>
              <w:jc w:val="center"/>
              <w:rPr>
                <w:rFonts w:cstheme="minorHAnsi"/>
              </w:rPr>
            </w:pPr>
            <w:r>
              <w:rPr>
                <w:rFonts w:cstheme="minorHAnsi"/>
              </w:rPr>
              <w:t>40</w:t>
            </w:r>
          </w:p>
        </w:tc>
        <w:tc>
          <w:tcPr>
            <w:tcW w:w="2514" w:type="dxa"/>
            <w:vAlign w:val="center"/>
          </w:tcPr>
          <w:p w:rsidR="000A58BE" w:rsidRPr="001C661C" w:rsidRDefault="0060596D" w:rsidP="000A58BE">
            <w:pPr>
              <w:jc w:val="center"/>
              <w:rPr>
                <w:rFonts w:cstheme="minorHAnsi"/>
              </w:rPr>
            </w:pPr>
            <w:r>
              <w:rPr>
                <w:rFonts w:cstheme="minorHAnsi"/>
              </w:rPr>
              <w:t>1,2</w:t>
            </w:r>
          </w:p>
        </w:tc>
      </w:tr>
      <w:tr w:rsidR="0060596D" w:rsidRPr="001C661C" w:rsidTr="000A58BE">
        <w:tc>
          <w:tcPr>
            <w:tcW w:w="2997" w:type="dxa"/>
          </w:tcPr>
          <w:p w:rsidR="0060596D" w:rsidRDefault="0060596D" w:rsidP="000A58BE">
            <w:r>
              <w:t>Research Portfolio</w:t>
            </w:r>
          </w:p>
        </w:tc>
        <w:tc>
          <w:tcPr>
            <w:tcW w:w="2570" w:type="dxa"/>
            <w:vAlign w:val="center"/>
          </w:tcPr>
          <w:p w:rsidR="0060596D" w:rsidRDefault="0060596D" w:rsidP="000A58BE">
            <w:pPr>
              <w:jc w:val="center"/>
              <w:rPr>
                <w:rFonts w:cstheme="minorHAnsi"/>
              </w:rPr>
            </w:pPr>
            <w:r>
              <w:rPr>
                <w:rFonts w:cstheme="minorHAnsi"/>
              </w:rPr>
              <w:t>2500 words</w:t>
            </w:r>
          </w:p>
        </w:tc>
        <w:tc>
          <w:tcPr>
            <w:tcW w:w="2375" w:type="dxa"/>
            <w:vAlign w:val="center"/>
          </w:tcPr>
          <w:p w:rsidR="0060596D" w:rsidRDefault="0060596D" w:rsidP="000A58BE">
            <w:pPr>
              <w:jc w:val="center"/>
              <w:rPr>
                <w:rFonts w:cstheme="minorHAnsi"/>
              </w:rPr>
            </w:pPr>
            <w:r>
              <w:rPr>
                <w:rFonts w:cstheme="minorHAnsi"/>
              </w:rPr>
              <w:t>60</w:t>
            </w:r>
          </w:p>
        </w:tc>
        <w:tc>
          <w:tcPr>
            <w:tcW w:w="2514" w:type="dxa"/>
            <w:vAlign w:val="center"/>
          </w:tcPr>
          <w:p w:rsidR="0060596D" w:rsidRDefault="0060596D" w:rsidP="000A58BE">
            <w:pPr>
              <w:jc w:val="center"/>
              <w:rPr>
                <w:rFonts w:cstheme="minorHAnsi"/>
              </w:rPr>
            </w:pPr>
            <w:r>
              <w:rPr>
                <w:rFonts w:cstheme="minorHAnsi"/>
              </w:rPr>
              <w:t>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4E259E" w:rsidRPr="001C661C" w:rsidTr="000A58BE">
        <w:tc>
          <w:tcPr>
            <w:tcW w:w="2997" w:type="dxa"/>
          </w:tcPr>
          <w:p w:rsidR="004E259E" w:rsidRDefault="0060596D" w:rsidP="004E259E">
            <w:r>
              <w:t>Written assessment – Presentation materials:  summary with supporting evidence</w:t>
            </w:r>
          </w:p>
        </w:tc>
        <w:tc>
          <w:tcPr>
            <w:tcW w:w="2570" w:type="dxa"/>
            <w:vAlign w:val="center"/>
          </w:tcPr>
          <w:p w:rsidR="004E259E" w:rsidRPr="001C661C" w:rsidRDefault="0060596D" w:rsidP="004E259E">
            <w:pPr>
              <w:jc w:val="center"/>
              <w:rPr>
                <w:rFonts w:cstheme="minorHAnsi"/>
              </w:rPr>
            </w:pPr>
            <w:r>
              <w:rPr>
                <w:rFonts w:cstheme="minorHAnsi"/>
              </w:rPr>
              <w:t>500 words</w:t>
            </w:r>
          </w:p>
        </w:tc>
        <w:tc>
          <w:tcPr>
            <w:tcW w:w="2375" w:type="dxa"/>
            <w:vAlign w:val="center"/>
          </w:tcPr>
          <w:p w:rsidR="004E259E" w:rsidRPr="001C661C" w:rsidRDefault="0060596D" w:rsidP="004E259E">
            <w:pPr>
              <w:jc w:val="center"/>
              <w:rPr>
                <w:rFonts w:cstheme="minorHAnsi"/>
              </w:rPr>
            </w:pPr>
            <w:r>
              <w:rPr>
                <w:rFonts w:cstheme="minorHAnsi"/>
              </w:rPr>
              <w:t>40</w:t>
            </w:r>
          </w:p>
        </w:tc>
        <w:tc>
          <w:tcPr>
            <w:tcW w:w="2514" w:type="dxa"/>
            <w:vAlign w:val="center"/>
          </w:tcPr>
          <w:p w:rsidR="004E259E" w:rsidRPr="001C661C" w:rsidRDefault="0060596D" w:rsidP="004E259E">
            <w:pPr>
              <w:jc w:val="center"/>
              <w:rPr>
                <w:rFonts w:cstheme="minorHAnsi"/>
              </w:rPr>
            </w:pPr>
            <w:r>
              <w:rPr>
                <w:rFonts w:cstheme="minorHAnsi"/>
              </w:rPr>
              <w:t>1,2</w:t>
            </w:r>
          </w:p>
        </w:tc>
      </w:tr>
      <w:tr w:rsidR="0060596D" w:rsidRPr="001C661C" w:rsidTr="000A58BE">
        <w:tc>
          <w:tcPr>
            <w:tcW w:w="2997" w:type="dxa"/>
          </w:tcPr>
          <w:p w:rsidR="0060596D" w:rsidRDefault="006D7620" w:rsidP="004E259E">
            <w:r>
              <w:t>Research portfolio</w:t>
            </w:r>
          </w:p>
        </w:tc>
        <w:tc>
          <w:tcPr>
            <w:tcW w:w="2570" w:type="dxa"/>
            <w:vAlign w:val="center"/>
          </w:tcPr>
          <w:p w:rsidR="0060596D" w:rsidRDefault="006D7620" w:rsidP="004E259E">
            <w:pPr>
              <w:jc w:val="center"/>
              <w:rPr>
                <w:rFonts w:cstheme="minorHAnsi"/>
              </w:rPr>
            </w:pPr>
            <w:r>
              <w:rPr>
                <w:rFonts w:cstheme="minorHAnsi"/>
              </w:rPr>
              <w:t>2500 words</w:t>
            </w:r>
          </w:p>
        </w:tc>
        <w:tc>
          <w:tcPr>
            <w:tcW w:w="2375" w:type="dxa"/>
            <w:vAlign w:val="center"/>
          </w:tcPr>
          <w:p w:rsidR="0060596D" w:rsidRDefault="006D7620" w:rsidP="004E259E">
            <w:pPr>
              <w:jc w:val="center"/>
              <w:rPr>
                <w:rFonts w:cstheme="minorHAnsi"/>
              </w:rPr>
            </w:pPr>
            <w:r>
              <w:rPr>
                <w:rFonts w:cstheme="minorHAnsi"/>
              </w:rPr>
              <w:t>60</w:t>
            </w:r>
          </w:p>
        </w:tc>
        <w:tc>
          <w:tcPr>
            <w:tcW w:w="2514" w:type="dxa"/>
            <w:vAlign w:val="center"/>
          </w:tcPr>
          <w:p w:rsidR="0060596D" w:rsidRDefault="006D7620" w:rsidP="004E259E">
            <w:pPr>
              <w:jc w:val="center"/>
              <w:rPr>
                <w:rFonts w:cstheme="minorHAnsi"/>
              </w:rPr>
            </w:pPr>
            <w:r>
              <w:rPr>
                <w:rFonts w:cstheme="minorHAnsi"/>
              </w:rPr>
              <w:t>3</w:t>
            </w:r>
          </w:p>
        </w:tc>
      </w:tr>
    </w:tbl>
    <w:p w:rsidR="004E259E" w:rsidRDefault="004E259E" w:rsidP="000A5D80">
      <w:pPr>
        <w:spacing w:after="0" w:line="240" w:lineRule="auto"/>
        <w:jc w:val="both"/>
        <w:rPr>
          <w:rFonts w:cstheme="minorHAnsi"/>
        </w:rPr>
      </w:pPr>
    </w:p>
    <w:p w:rsidR="001C661C" w:rsidRDefault="00545359" w:rsidP="00A269B4">
      <w:pPr>
        <w:spacing w:after="0" w:line="240" w:lineRule="auto"/>
        <w:rPr>
          <w:rFonts w:cstheme="minorHAnsi"/>
          <w:b/>
        </w:rPr>
      </w:pPr>
      <w:r>
        <w:rPr>
          <w:rFonts w:cstheme="minorHAnsi"/>
          <w:b/>
        </w:rPr>
        <w:t xml:space="preserve">Indicative </w:t>
      </w:r>
      <w:r w:rsidR="001C661C">
        <w:rPr>
          <w:rFonts w:cstheme="minorHAnsi"/>
          <w:b/>
        </w:rPr>
        <w:t>Reading List</w:t>
      </w:r>
    </w:p>
    <w:p w:rsidR="006D7620" w:rsidRDefault="006D7620" w:rsidP="00A269B4">
      <w:pPr>
        <w:spacing w:after="0" w:line="240" w:lineRule="auto"/>
        <w:rPr>
          <w:rFonts w:cstheme="minorHAnsi"/>
          <w:b/>
        </w:rPr>
      </w:pPr>
    </w:p>
    <w:p w:rsidR="006D7620" w:rsidRDefault="006D7620" w:rsidP="00A269B4">
      <w:pPr>
        <w:spacing w:after="0" w:line="240" w:lineRule="auto"/>
        <w:rPr>
          <w:rFonts w:cstheme="minorHAnsi"/>
          <w:b/>
        </w:rPr>
      </w:pPr>
      <w:r>
        <w:rPr>
          <w:rFonts w:cstheme="minorHAnsi"/>
          <w:b/>
        </w:rPr>
        <w:t>Essential</w:t>
      </w:r>
    </w:p>
    <w:p w:rsidR="006D7620" w:rsidRPr="006D7620" w:rsidRDefault="006D7620" w:rsidP="00702845">
      <w:pPr>
        <w:pStyle w:val="ListParagraph"/>
        <w:numPr>
          <w:ilvl w:val="0"/>
          <w:numId w:val="16"/>
        </w:numPr>
        <w:spacing w:after="0" w:line="240" w:lineRule="auto"/>
        <w:rPr>
          <w:rFonts w:cstheme="minorHAnsi"/>
        </w:rPr>
      </w:pPr>
      <w:r w:rsidRPr="006D7620">
        <w:rPr>
          <w:rFonts w:cstheme="minorHAnsi"/>
        </w:rPr>
        <w:t xml:space="preserve">Feist, J. (2013) Project Management for Musicians: Recordings, Performances, Tours, Studios &amp; More (Music Business: Project Management), Boston MA: </w:t>
      </w:r>
      <w:proofErr w:type="spellStart"/>
      <w:r w:rsidRPr="006D7620">
        <w:rPr>
          <w:rFonts w:cstheme="minorHAnsi"/>
        </w:rPr>
        <w:t>Berklee</w:t>
      </w:r>
      <w:proofErr w:type="spellEnd"/>
      <w:r w:rsidRPr="006D7620">
        <w:rPr>
          <w:rFonts w:cstheme="minorHAnsi"/>
        </w:rPr>
        <w:t xml:space="preserve"> Press Publications.</w:t>
      </w:r>
    </w:p>
    <w:p w:rsidR="006D7620" w:rsidRPr="006D7620" w:rsidRDefault="006D7620" w:rsidP="006D7620">
      <w:pPr>
        <w:pStyle w:val="ListParagraph"/>
        <w:numPr>
          <w:ilvl w:val="0"/>
          <w:numId w:val="16"/>
        </w:numPr>
        <w:spacing w:after="0" w:line="240" w:lineRule="auto"/>
        <w:rPr>
          <w:rFonts w:cstheme="minorHAnsi"/>
        </w:rPr>
      </w:pPr>
      <w:r w:rsidRPr="006D7620">
        <w:rPr>
          <w:rFonts w:cstheme="minorHAnsi"/>
        </w:rPr>
        <w:t>Harrison, A. (2017) Music: The Business (7th edition): Fully Revised and Updated, including the latest developments in music streaming. London: Virgin Books.</w:t>
      </w:r>
    </w:p>
    <w:p w:rsidR="006D7620" w:rsidRPr="001C661C" w:rsidRDefault="006D7620" w:rsidP="00A269B4">
      <w:pPr>
        <w:spacing w:after="0" w:line="240" w:lineRule="auto"/>
        <w:rPr>
          <w:rFonts w:cstheme="minorHAnsi"/>
          <w:b/>
        </w:rPr>
      </w:pPr>
    </w:p>
    <w:p w:rsidR="006D7620" w:rsidRDefault="006D7620" w:rsidP="006D7620">
      <w:pPr>
        <w:rPr>
          <w:b/>
        </w:rPr>
      </w:pPr>
      <w:r w:rsidRPr="006D7620">
        <w:rPr>
          <w:b/>
        </w:rPr>
        <w:t>Recommended</w:t>
      </w:r>
    </w:p>
    <w:p w:rsidR="006D7620" w:rsidRPr="006D7620" w:rsidRDefault="006D7620" w:rsidP="00FE32E7">
      <w:pPr>
        <w:pStyle w:val="ListParagraph"/>
        <w:numPr>
          <w:ilvl w:val="0"/>
          <w:numId w:val="17"/>
        </w:numPr>
      </w:pPr>
      <w:proofErr w:type="spellStart"/>
      <w:r w:rsidRPr="006D7620">
        <w:t>Bargfrede</w:t>
      </w:r>
      <w:proofErr w:type="spellEnd"/>
      <w:r w:rsidRPr="006D7620">
        <w:t xml:space="preserve">, A. (2017) Music Law in the Digital Age: Copyright Essentials for Today's Music Business - 2nd Revised edition, Boston, USA: </w:t>
      </w:r>
      <w:proofErr w:type="spellStart"/>
      <w:r w:rsidRPr="006D7620">
        <w:t>Berklee</w:t>
      </w:r>
      <w:proofErr w:type="spellEnd"/>
      <w:r w:rsidRPr="006D7620">
        <w:t xml:space="preserve"> Press Publications.</w:t>
      </w:r>
    </w:p>
    <w:p w:rsidR="006D7620" w:rsidRPr="006D7620" w:rsidRDefault="006D7620" w:rsidP="00CD190B">
      <w:pPr>
        <w:pStyle w:val="ListParagraph"/>
        <w:numPr>
          <w:ilvl w:val="0"/>
          <w:numId w:val="17"/>
        </w:numPr>
      </w:pPr>
      <w:r w:rsidRPr="006D7620">
        <w:t>Barker, S. and Rob C. (2009) Brilliant Project Management (Revised Edition): what the best project managers know, do and say, Harlow: Prentice Hall.</w:t>
      </w:r>
    </w:p>
    <w:p w:rsidR="006D7620" w:rsidRPr="006D7620" w:rsidRDefault="006D7620" w:rsidP="0090139C">
      <w:pPr>
        <w:pStyle w:val="ListParagraph"/>
        <w:numPr>
          <w:ilvl w:val="0"/>
          <w:numId w:val="17"/>
        </w:numPr>
      </w:pPr>
      <w:r w:rsidRPr="006D7620">
        <w:lastRenderedPageBreak/>
        <w:t xml:space="preserve">Boyle, J. and Jenkins, J. (2017) Theft: A History of Music, California, USA; </w:t>
      </w:r>
      <w:proofErr w:type="spellStart"/>
      <w:r w:rsidRPr="006D7620">
        <w:t>CreateSpace</w:t>
      </w:r>
      <w:proofErr w:type="spellEnd"/>
      <w:r w:rsidRPr="006D7620">
        <w:t xml:space="preserve"> Independent Publishing Platform</w:t>
      </w:r>
    </w:p>
    <w:p w:rsidR="006D7620" w:rsidRPr="006D7620" w:rsidRDefault="006D7620" w:rsidP="00AF67F0">
      <w:pPr>
        <w:pStyle w:val="ListParagraph"/>
        <w:numPr>
          <w:ilvl w:val="0"/>
          <w:numId w:val="17"/>
        </w:numPr>
      </w:pPr>
      <w:proofErr w:type="spellStart"/>
      <w:r w:rsidRPr="006D7620">
        <w:t>Billingham</w:t>
      </w:r>
      <w:proofErr w:type="spellEnd"/>
      <w:r w:rsidRPr="006D7620">
        <w:t xml:space="preserve">, V. (2008) Project Management: How to Plan and Deliver a Successful Project, </w:t>
      </w:r>
      <w:proofErr w:type="spellStart"/>
      <w:r w:rsidRPr="006D7620">
        <w:t>Abergele</w:t>
      </w:r>
      <w:proofErr w:type="spellEnd"/>
      <w:r w:rsidRPr="006D7620">
        <w:t xml:space="preserve">: </w:t>
      </w:r>
      <w:proofErr w:type="spellStart"/>
      <w:r w:rsidRPr="006D7620">
        <w:t>Studymates</w:t>
      </w:r>
      <w:proofErr w:type="spellEnd"/>
      <w:r w:rsidRPr="006D7620">
        <w:t>.</w:t>
      </w:r>
    </w:p>
    <w:p w:rsidR="006D7620" w:rsidRPr="006D7620" w:rsidRDefault="006D7620" w:rsidP="00796131">
      <w:pPr>
        <w:pStyle w:val="ListParagraph"/>
        <w:numPr>
          <w:ilvl w:val="0"/>
          <w:numId w:val="17"/>
        </w:numPr>
      </w:pPr>
      <w:r w:rsidRPr="006D7620">
        <w:t xml:space="preserve">Golding, C. and Hepworth-Sawyer, R. (2010) </w:t>
      </w:r>
      <w:proofErr w:type="gramStart"/>
      <w:r w:rsidRPr="006D7620">
        <w:t>What</w:t>
      </w:r>
      <w:proofErr w:type="gramEnd"/>
      <w:r w:rsidRPr="006D7620">
        <w:t xml:space="preserve"> is Music Production? A producers guide, the role, the people, the process, Burlington: Focal Press.</w:t>
      </w:r>
    </w:p>
    <w:p w:rsidR="006D7620" w:rsidRPr="006D7620" w:rsidRDefault="006D7620" w:rsidP="00157F01">
      <w:pPr>
        <w:pStyle w:val="ListParagraph"/>
        <w:numPr>
          <w:ilvl w:val="0"/>
          <w:numId w:val="17"/>
        </w:numPr>
      </w:pPr>
      <w:r w:rsidRPr="006D7620">
        <w:t xml:space="preserve">Gray, D., Brown, </w:t>
      </w:r>
      <w:proofErr w:type="spellStart"/>
      <w:r w:rsidRPr="006D7620">
        <w:t>S.and</w:t>
      </w:r>
      <w:proofErr w:type="spellEnd"/>
      <w:r w:rsidRPr="006D7620">
        <w:t xml:space="preserve"> </w:t>
      </w:r>
      <w:proofErr w:type="spellStart"/>
      <w:r w:rsidRPr="006D7620">
        <w:t>Macnufo</w:t>
      </w:r>
      <w:proofErr w:type="spellEnd"/>
      <w:r w:rsidRPr="006D7620">
        <w:t xml:space="preserve">, J. (2010) </w:t>
      </w:r>
      <w:proofErr w:type="spellStart"/>
      <w:r w:rsidRPr="006D7620">
        <w:t>Gamestorming</w:t>
      </w:r>
      <w:proofErr w:type="spellEnd"/>
      <w:r w:rsidRPr="006D7620">
        <w:t xml:space="preserve">: A Playbook for Innovators, </w:t>
      </w:r>
      <w:proofErr w:type="spellStart"/>
      <w:r w:rsidRPr="006D7620">
        <w:t>Rulebreakers</w:t>
      </w:r>
      <w:proofErr w:type="spellEnd"/>
      <w:r w:rsidRPr="006D7620">
        <w:t xml:space="preserve">, and </w:t>
      </w:r>
      <w:proofErr w:type="spellStart"/>
      <w:r w:rsidRPr="006D7620">
        <w:t>Changemakers</w:t>
      </w:r>
      <w:proofErr w:type="spellEnd"/>
      <w:r w:rsidRPr="006D7620">
        <w:t>, California, USA; O'Reilly Media.</w:t>
      </w:r>
    </w:p>
    <w:p w:rsidR="006D7620" w:rsidRPr="006D7620" w:rsidRDefault="006D7620" w:rsidP="009E2A19">
      <w:pPr>
        <w:pStyle w:val="ListParagraph"/>
        <w:numPr>
          <w:ilvl w:val="0"/>
          <w:numId w:val="17"/>
        </w:numPr>
      </w:pPr>
      <w:proofErr w:type="spellStart"/>
      <w:r w:rsidRPr="006D7620">
        <w:t>Herstand</w:t>
      </w:r>
      <w:proofErr w:type="spellEnd"/>
      <w:r w:rsidRPr="006D7620">
        <w:t xml:space="preserve">, A. (2017) How to Make it in the New Music Business: Practical Tips on Building a Loyal Following and Making a Living as a Musician New York, USA; </w:t>
      </w:r>
      <w:proofErr w:type="spellStart"/>
      <w:r w:rsidRPr="006D7620">
        <w:t>Liveright</w:t>
      </w:r>
      <w:proofErr w:type="spellEnd"/>
      <w:r w:rsidRPr="006D7620">
        <w:t>.</w:t>
      </w:r>
      <w:bookmarkStart w:id="0" w:name="_GoBack"/>
      <w:bookmarkEnd w:id="0"/>
    </w:p>
    <w:p w:rsidR="006D7620" w:rsidRPr="006D7620" w:rsidRDefault="006D7620" w:rsidP="006D7620">
      <w:pPr>
        <w:pStyle w:val="ListParagraph"/>
        <w:numPr>
          <w:ilvl w:val="0"/>
          <w:numId w:val="17"/>
        </w:numPr>
      </w:pPr>
      <w:proofErr w:type="spellStart"/>
      <w:r w:rsidRPr="006D7620">
        <w:t>Passman</w:t>
      </w:r>
      <w:proofErr w:type="spellEnd"/>
      <w:r w:rsidRPr="006D7620">
        <w:t>, D. S., (2014) All You Need to Know About the Music Business: Eighth Edition, London: Penguin.</w:t>
      </w:r>
    </w:p>
    <w:p w:rsidR="006D7620" w:rsidRPr="006D7620" w:rsidRDefault="006D7620" w:rsidP="00914F78"/>
    <w:p w:rsidR="006D7620" w:rsidRPr="006D7620" w:rsidRDefault="006D7620" w:rsidP="00914F78"/>
    <w:p w:rsidR="004E259E" w:rsidRPr="004E259E" w:rsidRDefault="004E259E" w:rsidP="004E259E">
      <w:pPr>
        <w:tabs>
          <w:tab w:val="left" w:pos="9210"/>
        </w:tabs>
      </w:pPr>
      <w:r>
        <w:tab/>
      </w:r>
    </w:p>
    <w:p w:rsidR="00914F78" w:rsidRDefault="00914F78" w:rsidP="004E259E"/>
    <w:p w:rsidR="00914F78" w:rsidRPr="00914F78" w:rsidRDefault="00914F78" w:rsidP="00914F78"/>
    <w:p w:rsidR="00914F78" w:rsidRPr="00914F78" w:rsidRDefault="00914F78" w:rsidP="00914F78"/>
    <w:p w:rsidR="00914F78" w:rsidRPr="00914F78" w:rsidRDefault="00914F78" w:rsidP="00914F78"/>
    <w:p w:rsidR="00914F78" w:rsidRPr="00914F78" w:rsidRDefault="00914F78" w:rsidP="00914F78"/>
    <w:p w:rsidR="001C661C" w:rsidRPr="00914F78" w:rsidRDefault="00914F78" w:rsidP="00914F78">
      <w:pPr>
        <w:tabs>
          <w:tab w:val="left" w:pos="8630"/>
        </w:tabs>
      </w:pPr>
      <w:r>
        <w:tab/>
      </w:r>
    </w:p>
    <w:sectPr w:rsidR="001C661C" w:rsidRPr="00914F78" w:rsidSect="001C661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B" w:rsidRDefault="007E5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1C661C">
    <w:pPr>
      <w:pStyle w:val="Footer"/>
      <w:rPr>
        <w:sz w:val="16"/>
        <w:szCs w:val="16"/>
      </w:rPr>
    </w:pPr>
    <w:r w:rsidRPr="00B20B91">
      <w:rPr>
        <w:sz w:val="16"/>
        <w:szCs w:val="16"/>
      </w:rPr>
      <w:tab/>
    </w:r>
    <w:r w:rsidRPr="00B20B91">
      <w:rPr>
        <w:sz w:val="16"/>
        <w:szCs w:val="16"/>
      </w:rPr>
      <w:tab/>
      <w:t>(2016+) Version 1</w:t>
    </w:r>
    <w:r w:rsidR="006E7B7D">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B" w:rsidRDefault="007E5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B" w:rsidRDefault="007E5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7E5EAB">
    <w:pPr>
      <w:pStyle w:val="Header"/>
    </w:pPr>
    <w:r>
      <w:rPr>
        <w:noProof/>
        <w:lang w:eastAsia="en-GB"/>
      </w:rPr>
      <w:drawing>
        <wp:anchor distT="0" distB="0" distL="114300" distR="114300" simplePos="0" relativeHeight="251661312" behindDoc="1" locked="0" layoutInCell="1" allowOverlap="1">
          <wp:simplePos x="0" y="0"/>
          <wp:positionH relativeFrom="column">
            <wp:posOffset>4683016</wp:posOffset>
          </wp:positionH>
          <wp:positionV relativeFrom="paragraph">
            <wp:posOffset>-388619</wp:posOffset>
          </wp:positionV>
          <wp:extent cx="2206177" cy="13258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9218" cy="1327708"/>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pPr>
      <w:pStyle w:val="Header"/>
    </w:pPr>
  </w:p>
  <w:p w:rsidR="000A5D80" w:rsidRDefault="000A5D80">
    <w:pPr>
      <w:pStyle w:val="Header"/>
    </w:pPr>
  </w:p>
  <w:p w:rsidR="000A58BE" w:rsidRDefault="000A58BE">
    <w:pPr>
      <w:pStyle w:val="Header"/>
    </w:pPr>
  </w:p>
  <w:p w:rsidR="000A58BE" w:rsidRDefault="000A5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B" w:rsidRDefault="007E5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A16"/>
    <w:multiLevelType w:val="hybridMultilevel"/>
    <w:tmpl w:val="0A0E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4361"/>
    <w:multiLevelType w:val="hybridMultilevel"/>
    <w:tmpl w:val="2728B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2703C"/>
    <w:multiLevelType w:val="hybridMultilevel"/>
    <w:tmpl w:val="DD60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7169F"/>
    <w:multiLevelType w:val="hybridMultilevel"/>
    <w:tmpl w:val="06846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24021"/>
    <w:multiLevelType w:val="hybridMultilevel"/>
    <w:tmpl w:val="04F4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9"/>
  </w:num>
  <w:num w:numId="6">
    <w:abstractNumId w:val="7"/>
  </w:num>
  <w:num w:numId="7">
    <w:abstractNumId w:val="14"/>
  </w:num>
  <w:num w:numId="8">
    <w:abstractNumId w:val="12"/>
  </w:num>
  <w:num w:numId="9">
    <w:abstractNumId w:val="16"/>
  </w:num>
  <w:num w:numId="10">
    <w:abstractNumId w:val="11"/>
  </w:num>
  <w:num w:numId="11">
    <w:abstractNumId w:val="13"/>
  </w:num>
  <w:num w:numId="12">
    <w:abstractNumId w:val="1"/>
  </w:num>
  <w:num w:numId="13">
    <w:abstractNumId w:val="3"/>
  </w:num>
  <w:num w:numId="14">
    <w:abstractNumId w:val="15"/>
  </w:num>
  <w:num w:numId="15">
    <w:abstractNumId w:val="1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58BE"/>
    <w:rsid w:val="000A5D80"/>
    <w:rsid w:val="001C661C"/>
    <w:rsid w:val="003663DD"/>
    <w:rsid w:val="00366821"/>
    <w:rsid w:val="00425F09"/>
    <w:rsid w:val="00436D1C"/>
    <w:rsid w:val="004A247D"/>
    <w:rsid w:val="004A4E46"/>
    <w:rsid w:val="004A73FB"/>
    <w:rsid w:val="004A74D4"/>
    <w:rsid w:val="004E259E"/>
    <w:rsid w:val="004F4A6B"/>
    <w:rsid w:val="00534D47"/>
    <w:rsid w:val="00545359"/>
    <w:rsid w:val="0060596D"/>
    <w:rsid w:val="00625251"/>
    <w:rsid w:val="006943D9"/>
    <w:rsid w:val="006D7620"/>
    <w:rsid w:val="006E7B7D"/>
    <w:rsid w:val="00710455"/>
    <w:rsid w:val="007E5EAB"/>
    <w:rsid w:val="007F1B4A"/>
    <w:rsid w:val="0087463F"/>
    <w:rsid w:val="00896703"/>
    <w:rsid w:val="008A2ACE"/>
    <w:rsid w:val="00914F78"/>
    <w:rsid w:val="00940BAB"/>
    <w:rsid w:val="00966B12"/>
    <w:rsid w:val="00A12CD1"/>
    <w:rsid w:val="00A269B4"/>
    <w:rsid w:val="00AA1235"/>
    <w:rsid w:val="00B20B91"/>
    <w:rsid w:val="00B53773"/>
    <w:rsid w:val="00C07387"/>
    <w:rsid w:val="00C22386"/>
    <w:rsid w:val="00C63599"/>
    <w:rsid w:val="00CE0279"/>
    <w:rsid w:val="00D35C71"/>
    <w:rsid w:val="00D40518"/>
    <w:rsid w:val="00D82C9D"/>
    <w:rsid w:val="00D97C8C"/>
    <w:rsid w:val="00DA29B6"/>
    <w:rsid w:val="00DD43C8"/>
    <w:rsid w:val="00E20379"/>
    <w:rsid w:val="00EA2F19"/>
    <w:rsid w:val="00ED5540"/>
    <w:rsid w:val="00EF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956A30"/>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AEDE-A039-4D0A-B3EA-3DF26E6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Module Specification</vt:lpstr>
    </vt:vector>
  </TitlesOfParts>
  <Company>Leeds College Of Music</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dc:title>
  <dc:creator>LCoM User</dc:creator>
  <cp:lastModifiedBy>Stephenson, Caroline</cp:lastModifiedBy>
  <cp:revision>4</cp:revision>
  <cp:lastPrinted>2018-11-28T14:57:00Z</cp:lastPrinted>
  <dcterms:created xsi:type="dcterms:W3CDTF">2021-02-13T13:29:00Z</dcterms:created>
  <dcterms:modified xsi:type="dcterms:W3CDTF">2021-02-13T13:38:00Z</dcterms:modified>
</cp:coreProperties>
</file>